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天津市肿瘤医院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 贯彻执行国家法律、法规和规章制度，依法执业；2. 制定医院发展规划并组织实施，健全制度，科学管理；3. 提高医疗质量，确保医疗安全，改善医疗服务，提高运行效率，促进医院健康、可持续发展；4. 开展临床理论教学和实践教学，开展以职业精神教育为重点的思想教育，培养医学人才；5. 加强人才队伍和学科建设，开展临床技术创新，提高科研水平，加强对外交流与合作；6. 加强疾病预防和应急管理，承担突发公共卫生事件和灾害事故的紧急医疗救援任务；7. 加强医院文化建设和医德医风建设，构建和谐医患关系；8. 履行法律、法规规定和学校赋予的其他职责</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天津市肿瘤医院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 天津市肿瘤医院本级。</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天津市肿瘤医院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58079492.91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173433.40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6529695288.66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2180744.65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6536495400.26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134187372.45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6721962154.02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6538850078.31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5128995.93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776818700.88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954801780.66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776818700.88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7498780854.90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7498780854.90</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6721962154.02</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58079492.91</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6529695288.66</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134187372.45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173433.40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173433.40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基础研究</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2060299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其他基础研究支出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133433.40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133433.40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133433.40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133433.40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2180744.65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2180744.65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2180744.65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2180744.65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2180744.65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2180744.65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6719607475.97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55724814.86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6529695288.66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134187372.45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6706864934.34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42982273.23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6529695288.66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134187372.45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4396457.23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4396457.23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其他专科医院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6702468477.11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38585816.00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6529695288.66</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134187372.45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4439134.85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4439134.85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2242134.85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2242134.85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2197000.00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2197000.00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6766000.00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6766000.00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4915000.00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4915000.00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1851000.00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1851000.00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1537406.78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1537406.78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1537406.78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1537406.78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天津市肿瘤医院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7498780854.90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6721962154.02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58079492.91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6529695288.66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134187372.45</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368206</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天津市肿瘤医院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7498780854.90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6721962154.02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58079492.91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6529695288.66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134187372.45</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天津市肿瘤医院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776818700.88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776818700.88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776818700.88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368206</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天津市肿瘤医院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776818700.88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776818700.88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776818700.88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6538850078.31</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2278538052.44</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4260312025.87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173433.40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173433.40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基础研究</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2060299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其他基础研究支出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6536495400.26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2278538052.44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4257957347.82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6523752858.63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2271772052.44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4251980806.19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综合医院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4396457.23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4396457.23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其他专科医院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6519356401.40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2271772052.44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4247584348.96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4439134.85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4439134.85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2242134.85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2242134.85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其他公共卫生支出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2197000.00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2197000.00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6766000.00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6766000.00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4915000.00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4915000.00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中医药事务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中医（民族医）药专项</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58079492.91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173433.40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173433.40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2180744.65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2180744.65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55724814.86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55724814.86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58079492.91</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58079492.91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58079492.91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58079492.91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58079492.91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58079492.91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天津市肿瘤医院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58079492.91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45042416.00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44212416.00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830000.00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13037076.91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173433.40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173433.40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基础研究</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2060299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其他基础研究支出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2069999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133433.40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2180744.65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55724814.86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45042416.00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44212416.00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830000.00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10682398.86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42982273.23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38276416.00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37446416.00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830000.00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4705857.23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综合医院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4396457.23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4396457.23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其他专科医院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38585816.00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38276416.00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37446416.00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830000.00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309400.00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4439134.85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4439134.85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2242134.85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2242134.85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其他公共卫生支出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2197000.00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2197000.00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4915000.00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4915000.00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4915000.00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中医药事务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中医（民族医）药专项</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1537406.78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39126000.00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32773000.00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4915000.00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5086416.00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4345416.00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741000.00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44212416.00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830000.00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天津市肿瘤医院2025年度政府性基金预算财政拨款收入支出决算表为空表。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天津市肿瘤医院2025年度国有资本经营预算财政拨款收入支出决算表为空表。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天津市肿瘤医院2025年财政拨款“三公”经费支出决算表为空表。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天津市肿瘤医院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4260312025.87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13037076.91</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4247274948.96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基础研究</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2060299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其他基础研究支出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2060299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2022年度天津市科技计划项目结转资金项目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2021年度天津市科技计划项目结转资金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133433.40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2180744.65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2180744.65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2180744.65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2180744.65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2180744.65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2180744.65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第二批卫生健康行业高层次人才选拔培养工程第一年度资助经费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西部之光访问学者匹配资助</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国家有关计划专家个人所得税优惠补贴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85744.65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国家有关计划专家市级匹配资助经费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第1批博士后创新岗项目第2年度资助经费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4257957347.82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10682398.86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4247274948.96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4251980806.19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4705857.23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4247274948.96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4396457.23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4396457.23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公立医院综合改革-01直达资金-2024年医疗服务与保障能力提升（第二批）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455300.00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455300.00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紧缺人才培训（临床药师培训）-01直达资金-2024年医疗服务与保障能力提升（第二批）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57599.99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57599.99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天津市肿瘤医院医疗设备更新项目前期工作经费（2025年一般债券）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天津市肿瘤医院专科学科能力建设（2025年一般债券）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1349957.24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1349957.24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紧缺人才培训（临床药师（药师岗位培训））（2025年中央医疗服务与保障能力提升）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紧缺人才培训（临床药师培养）——2025年第二批中央医疗服务与保障能力提升（卫生健康人才培养）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紧缺人才培训（临床药师（药师上岗培训））——2025年第二批中央医疗服务与保障能力提升（卫生健康人才培养）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其他专科医院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4247584348.96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309400.00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4247274948.96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93900.00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卫生健康质控中心管理（2025年市级）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京津冀三地检验结果互认（2025年市级）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自有收入-药品耗材及资产购置（2025年）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3892049564.64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3892049564.64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自有收入-工程建设信息化及其他（2025年）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180246260.36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180246260.36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科教项目支出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174979123.96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174979123.96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4439134.85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4439134.85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2242134.85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2242134.85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精神卫生和慢性非传染性病防治（癌症早诊早治）（2024年中央重大传染病防控经费-第二批）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精神卫生和慢性非传染性病防治（癌症早诊早治）（2025年中央重大公共卫生服务）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2152734.85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2152734.85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重点传染病及健康危害因素监测（新冠变异监测（本土变异监测））（2025年中央重大公共卫生服务）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2197000.00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2197000.00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常见肿瘤早诊早治联合筛查（2025年市级）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2197000.00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2197000.00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1537406.78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1537406.78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1537406.78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1537406.78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中西医协同“旗舰”科室（2025年中央中医药事业传承与发展）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1372406.78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1372406.78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天津市肿瘤医院医疗设备更新项目（2025年一般债券付息）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7,498,780,854.90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增加1,008,817,361.97元，增长15.54%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医疗业务量增加，医疗收入及支出随之增加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一般公共预算财政拨款收入58,079,492.91元、事业收入6,529,695,288.66元、其他收入134,187,372.45元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科学技术支出173,433.40元、社会保障和就业支出2,180,744.65元、卫生健康支出6,536,495,400.26元、债务付息支出500.00元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天津市肿瘤医院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6,721,962,154.02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增加873,130,495.00元，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医疗业务量增加，医疗收入随之增加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一般公共预算财政拨款收入58,079,492.91元，占0.86%；事业收入6,529,695,288.66元，占97.14%；其他收入134,187,372.45元，占2.00%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天津市肿瘤医院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6,538,850,078.31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增加825,705,286.26元，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医疗业务量增加，药品及卫生材料支出随之增加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基本支出2,278,538,052.44元，占34.85%；项目支出4,260,312,025.87元，占65.15%</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58,079,492.91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减少13,503,447.54元，下降18.86%，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2025年一般公共预算财政拨款项目收入、支出减少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一般公共预算财政拨款58,079,492.91元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科学技术支出173,433.40元、社会保障和就业支出2,180,744.65元、卫生健康支出55,724,814.86元、债务付息支出500.00元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天津市肿瘤医院2025年度一般公共预算财政拨款支出合计58,079,492.91元，占本年支出合计的0.89%。与2024年度相比，一般公共预算财政拨款支出</w:t>
      </w:r>
      <w:r>
        <w:rPr>
          <w:rFonts w:eastAsia="仿宋_GB2312" w:hint="eastAsia"/>
          <w:sz w:val="30"/>
          <w:szCs w:val="30"/>
          <w:highlight w:val="none"/>
          <w:lang w:val="en-US" w:eastAsia="zh-CN"/>
        </w:rPr>
        <w:t xml:space="preserve">减少13,503,447.54元</w:t>
      </w:r>
      <w:r>
        <w:rPr>
          <w:rFonts w:eastAsia="仿宋_GB2312" w:hint="eastAsia"/>
          <w:sz w:val="30"/>
          <w:szCs w:val="30"/>
          <w:highlight w:val="none"/>
          <w:lang w:val="en-US" w:eastAsia="zh-CN"/>
        </w:rPr>
        <w:t xml:space="preserve">,下降18.86%</w:t>
      </w:r>
      <w:r>
        <w:rPr>
          <w:rFonts w:eastAsia="仿宋_GB2312" w:hint="eastAsia"/>
          <w:sz w:val="30"/>
          <w:szCs w:val="30"/>
          <w:highlight w:val="none"/>
          <w:lang w:val="en-US" w:eastAsia="zh-CN"/>
        </w:rPr>
        <w:t xml:space="preserve">，主要原因是2025年一般公共预算财政拨款项目支出减少。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2025年度一般公共预算财政拨款支出58,079,492.91元，主要用于以下方面：</w:t>
      </w:r>
      <w:r>
        <w:rPr>
          <w:rFonts w:eastAsia="仿宋_GB2312" w:hint="eastAsia"/>
          <w:sz w:val="30"/>
          <w:szCs w:val="30"/>
          <w:highlight w:val="none"/>
        </w:rPr>
        <w:t xml:space="preserve">科学技术支出（类）支出173,433.40元，占0.30%，社会保障和就业支出（类）支出2,180,744.65元，占3.75%，卫生健康支出（类）支出55,724,814.86元，占95.95%，债务付息支出（类）支出500.00元，占0.00%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2025年度一般公共预算财政拨款支出年初预算为54,257,500.00元，支出决算为58,079,492.91元</w:t>
      </w:r>
      <w:r>
        <w:rPr>
          <w:rFonts w:eastAsia="仿宋_GB2312" w:hint="eastAsia"/>
          <w:sz w:val="30"/>
          <w:szCs w:val="30"/>
          <w:highlight w:val="none"/>
          <w:lang w:val="en-US" w:eastAsia="zh-CN"/>
        </w:rPr>
        <w:t xml:space="preserve">，完成年初预算的107.04%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1.科学技术支出（类）基础研究（款）其他基础研究支出（项）年初预算为40,000.00元，支出决算为40,000.00元，完成年初预算的100.00%，决算数与年初预算数持平的主要原因是：按照年初预算执行。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科学技术支出（类）其他科学技术支出（款）其他科学技术支出（项）年初预算为165,300.00元，支出决算为133,433.40元，完成年初预算的80.72%，决算数小于年初预算数的主要原因是：“2021年度天津市科技计划项目结转资金”部分项目负责人离职，剩余资金无法使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人力资源和社会保障管理事务（款）引进人才费用（项）年初预算为0.00元，支出决算为2,180,744.65元，决算数大于年初预算数的主要原因是：年中追加“国家有关计划专家市级匹配资助经费”、“第二批卫生健康行业高层次人才选拔培养工程第一年度资助经费”等项目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公立医院（款）综合医院（项）年初预算为3,345,900.00元，支出决算为4,396,457.23元，完成年初预算的131.40%，决算数大于年初预算数的主要原因是：年中追加“天津市肿瘤医院专科学科能力建设（2025年一般债券）”等项目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公立医院（款）其他专科医院（项）年初预算为37,735,900.00元，支出决算为38,585,816.00元，完成年初预算的102.25%，决算数大于年初预算数的主要原因是：年中追加“2025年退休劳模一次性补贴”项目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公共卫生（款）重大公共卫生服务（项）年初预算为2,242,400.00元，支出决算为2,242,134.85元，完成年初预算的99.99%，决算数小于年初预算数的主要原因是：“精神卫生和慢性非传染性病防治（癌症早诊早治）（2025年中央重大公共卫生服务）”项目部分拨款结转至下年继续使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7.卫生健康支出（类）公共卫生（款）其他公共卫生支出（项）年初预算为2,197,000.00元，支出决算为2,197,000.00元，完成年初预算的100.00%，决算数与年初预算数持平的主要原因是：按照年初预算执行。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8.卫生健康支出（类）行政事业单位医疗（款）事业单位医疗（项）年初预算为4,915,000.00元，支出决算为4,915,000.00元，完成年初预算的100.00%，决算数与年初预算数持平的主要原因是：按照年初预算执行。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卫生健康支出（类）行政事业单位医疗（款）其他行政事业单位医疗支出（项）年初预算为1,851,000.00元，支出决算为1,851,000.00元，完成年初预算的100.00%，决算数与年初预算数持平的主要原因是：按照年初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卫生健康支出（类）中医药事务（款）中医（民族医）药专项（项）年初预算为1,765,000.00元，支出决算为1,537,406.78元，完成年初预算的87.11%，决算数小于年初预算数的主要原因是：“中西医协同“旗舰”科室（2025年中央中医药事业传承与发展）”项目部分拨款结转至下年继续使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债务付息支出（类）地方政府一般债务付息支出（款）地方政府一般债券付息支出（项）年初预算为0.00元，支出决算为500.00元，决算数大于年初预算数的主要原因是：年中追加“天津市肿瘤医院医疗设备更新项目（2025年一般债券付息）”项目预算。</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天津市肿瘤医院2025年度一般公共预算财政拨款基本支出合计45,042,416.00元，与2024年度相比</w:t>
      </w:r>
      <w:r>
        <w:rPr>
          <w:rFonts w:eastAsia="仿宋_GB2312" w:hint="eastAsia"/>
          <w:sz w:val="30"/>
          <w:szCs w:val="30"/>
          <w:highlight w:val="none"/>
          <w:lang w:val="en-US" w:eastAsia="zh-CN"/>
        </w:rPr>
        <w:t xml:space="preserve">减少287,584.00元，</w:t>
      </w:r>
      <w:r>
        <w:rPr>
          <w:rFonts w:eastAsia="仿宋_GB2312" w:hint="eastAsia"/>
          <w:sz w:val="30"/>
          <w:szCs w:val="30"/>
          <w:highlight w:val="none"/>
          <w:lang w:val="en-US" w:eastAsia="zh-CN"/>
        </w:rPr>
        <w:t xml:space="preserve">主要原因是基本养老保险缴费及职业年金缴费拨款减少。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人员经费44,212,416.00元，主要包括</w:t>
      </w:r>
      <w:r>
        <w:rPr>
          <w:rFonts w:eastAsia="仿宋_GB2312" w:hint="eastAsia"/>
          <w:sz w:val="30"/>
          <w:szCs w:val="30"/>
          <w:highlight w:val="none"/>
          <w:lang w:val="en-US" w:eastAsia="zh-CN"/>
        </w:rPr>
        <w:t xml:space="preserve">机关事业单位基本养老保险缴费、职工基本医疗保险缴费、其他社会保障缴费、医疗费、退休费、医疗费补助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公用经费830,000.00元，主要包括</w:t>
      </w:r>
      <w:r>
        <w:rPr>
          <w:rFonts w:eastAsia="仿宋_GB2312" w:hint="eastAsia"/>
          <w:sz w:val="30"/>
          <w:szCs w:val="30"/>
          <w:highlight w:val="none"/>
          <w:lang w:val="en-US" w:eastAsia="zh-CN"/>
        </w:rPr>
        <w:t xml:space="preserve">福利费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肿瘤医院2025年政府采购支出总额317,330,869.47元，其中：政府采购货物支出76,319,352.80元、政府采购工程支出32,440,738.44元、政府采购服务支出208,570,778.23元。授予中小企业合同金额230,170,207.47元，占政府采购支出总额的72.53%，其中：授予小微企业合同金额164,154,368.68元，占政府采购支出总额的51.73%；货物采购授予中小企业合同金额占货物支出金额的39.86%，工程采购授予中小企业合同金额占工程支出金额的34.33%，服务采购授予中小企业合同金额占服务支出金额的90.43%。</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截至2025年12月31日，天津市肿瘤医院共有车辆7辆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特种专业技术用车1辆、其他用车6辆</w:t>
      </w:r>
      <w:r>
        <w:rPr>
          <w:rFonts w:eastAsia="仿宋_GB2312" w:hint="eastAsia"/>
          <w:sz w:val="30"/>
          <w:szCs w:val="30"/>
          <w:highlight w:val="none"/>
          <w:lang w:val="en-US" w:eastAsia="zh-CN"/>
        </w:rPr>
        <w:t xml:space="preserve">，其他用车主要包括业务用车</w:t>
      </w:r>
      <w:r>
        <w:rPr>
          <w:rFonts w:eastAsia="仿宋_GB2312" w:hint="eastAsia"/>
          <w:sz w:val="30"/>
          <w:szCs w:val="30"/>
          <w:highlight w:val="none"/>
          <w:lang w:val="en-US" w:eastAsia="zh-CN"/>
        </w:rPr>
        <w:t xml:space="preserve">。单价100万元以上的设备334台（套）。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根据预算绩效管理要求，天津市肿瘤医院已对18个2025年度市级项目开展绩效自评，涉及金额4,783,030,245.00元，自评结果已随部门决算一并公开。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天津市肿瘤医院不属于乡、镇、街级单位,不涉及公开2025年度教育、医疗卫生、社会保障和就业、住房保障、涉农补贴等民生支出情况。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96C1CB0B-303F-4DCA-85DB-C7340DD8F5D2}"/>
    <w:embedBold r:id="rId2" w:subsetted="1" w:fontKey="{97CD80F2-9F59-45A7-94FA-A4AF58AFD92E}"/>
  </w:font>
  <w:font w:name="Cambria">
    <w:panose1 w:val="02040503050406030204"/>
    <w:charset w:val="00"/>
    <w:family w:val="roman"/>
    <w:pitch w:val="default"/>
    <w:sig w:usb0="E00006FF" w:usb1="420024FF" w:usb2="02000000" w:usb3="00000000" w:csb0="2000019F" w:csb1="00000000"/>
    <w:embedRegular r:id="rId3" w:fontKey="{8B749E6F-0E04-4DAD-BF28-5EA735A3EB68}"/>
  </w:font>
  <w:font w:name="Calibri">
    <w:panose1 w:val="020F0502020204030204"/>
    <w:charset w:val="00"/>
    <w:family w:val="swiss"/>
    <w:pitch w:val="default"/>
    <w:sig w:usb0="E4002EFF" w:usb1="C200247B" w:usb2="00000009" w:usb3="00000000" w:csb0="200001FF" w:csb1="00000000"/>
    <w:embedRegular r:id="rId4" w:fontKey="{0D5D617A-6E44-404A-BD80-2640EBD28E67}"/>
  </w:font>
  <w:font w:name="黑体">
    <w:panose1 w:val="02010609060101010101"/>
    <w:charset w:val="FFFFFF86"/>
    <w:family w:val="auto"/>
    <w:pitch w:val="default"/>
    <w:sig w:usb0="800002BF" w:usb1="38CF7CFA" w:usb2="00000016" w:usb3="00000000" w:csb0="00040001" w:csb1="00000000"/>
    <w:embedRegular r:id="rId5" w:subsetted="1" w:fontKey="{D5983B56-6DA1-4108-AE4C-4BC79089EE40}"/>
    <w:embedBold r:id="rId6" w:subsetted="1" w:fontKey="{2A5AE9D3-19A7-4017-AB02-A69CAB2F7713}"/>
  </w:font>
  <w:font w:name="方正小标宋简体">
    <w:altName w:val="黑体"/>
    <w:panose1 w:val="02000000000000000000"/>
    <w:charset w:val="FFFFFF86"/>
    <w:family w:val="auto"/>
    <w:pitch w:val="default"/>
    <w:sig w:usb0="00000001" w:usb1="08000000" w:usb2="00000000" w:usb3="00000000" w:csb0="00040000" w:csb1="00000000"/>
    <w:embedRegular r:id="rId7" w:fontKey="{A22943D9-56B4-4A6E-8935-926FFACD99C0}"/>
    <w:embedBold r:id="rId8" w:fontKey="{4E51BF4D-11FD-4EC9-B46B-39B9BDC076D0}"/>
  </w:font>
  <w:font w:name="仿宋">
    <w:panose1 w:val="02010609060101010101"/>
    <w:charset w:val="FFFFFF86"/>
    <w:family w:val="auto"/>
    <w:pitch w:val="default"/>
    <w:sig w:usb0="800002BF" w:usb1="38CF7CFA" w:usb2="00000016" w:usb3="00000000" w:csb0="00040001" w:csb1="00000000"/>
    <w:embedRegular r:id="rId9" w:subsetted="1" w:fontKey="{D26CBA64-611D-4B35-B46E-827C978F9646}"/>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2F222F78-A20E-4AEC-BFD8-7A58F4FFF8C0}"/>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CEEBE7D8-AD85-4559-BE92-25C4DF097929}"/>
    <w:embedBold r:id="rId12" w:subsetted="1" w:fontKey="{347E6A48-EFDA-4CD6-88A0-C25B5F2E8CF1}"/>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33</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36</Pages>
  <Words>2179</Words>
  <Characters>9250</Characters>
  <Application>WPS Office_12.1.0.28043_F1E327BC-269C-435d-A152-05C5408002CA</Application>
  <DocSecurity>0</DocSecurity>
  <Lines>60</Lines>
  <Paragraphs>16</Paragraphs>
  <ScaleCrop>false</ScaleCrop>
  <Company>Microsoft</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2026-08-24T02:43:28Z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