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18" w:hanging="18" w:hangingChars="5"/>
        <w:jc w:val="center"/>
        <w:rPr>
          <w:rFonts w:ascii="仿宋" w:hAnsi="仿宋" w:eastAsia="仿宋" w:cs="仿宋"/>
          <w:b/>
          <w:bCs/>
          <w:sz w:val="36"/>
          <w:szCs w:val="36"/>
        </w:rPr>
      </w:pPr>
      <w:r>
        <w:rPr>
          <w:rFonts w:hint="eastAsia" w:ascii="仿宋" w:hAnsi="仿宋" w:eastAsia="仿宋" w:cs="仿宋"/>
          <w:b/>
          <w:bCs/>
          <w:sz w:val="36"/>
          <w:szCs w:val="36"/>
          <w:lang w:eastAsia="zh-CN"/>
        </w:rPr>
        <w:t>肿瘤医院</w:t>
      </w:r>
      <w:r>
        <w:rPr>
          <w:rFonts w:hint="eastAsia" w:ascii="仿宋" w:hAnsi="仿宋" w:eastAsia="仿宋" w:cs="仿宋"/>
          <w:b/>
          <w:bCs/>
          <w:sz w:val="36"/>
          <w:szCs w:val="36"/>
        </w:rPr>
        <w:t>关于选拔</w:t>
      </w:r>
      <w:r>
        <w:rPr>
          <w:rFonts w:hint="eastAsia" w:ascii="仿宋" w:hAnsi="仿宋" w:eastAsia="仿宋" w:cs="仿宋"/>
          <w:b/>
          <w:bCs/>
          <w:sz w:val="36"/>
          <w:szCs w:val="36"/>
          <w:lang w:eastAsia="zh-CN"/>
        </w:rPr>
        <w:t>第三批</w:t>
      </w:r>
      <w:r>
        <w:rPr>
          <w:rFonts w:hint="eastAsia" w:ascii="仿宋" w:hAnsi="仿宋" w:eastAsia="仿宋" w:cs="仿宋"/>
          <w:b/>
          <w:bCs/>
          <w:sz w:val="36"/>
          <w:szCs w:val="36"/>
        </w:rPr>
        <w:t>青年创新优秀人才的通知</w:t>
      </w:r>
    </w:p>
    <w:p>
      <w:pPr>
        <w:spacing w:line="480" w:lineRule="exact"/>
        <w:ind w:left="18" w:hanging="18" w:hangingChars="5"/>
        <w:jc w:val="center"/>
        <w:rPr>
          <w:rFonts w:ascii="仿宋" w:hAnsi="仿宋" w:eastAsia="仿宋" w:cs="仿宋"/>
          <w:b/>
          <w:bCs/>
          <w:sz w:val="36"/>
          <w:szCs w:val="36"/>
        </w:rPr>
      </w:pPr>
    </w:p>
    <w:p>
      <w:pPr>
        <w:spacing w:line="520" w:lineRule="exact"/>
        <w:ind w:left="15" w:leftChars="7" w:firstLine="560" w:firstLineChars="200"/>
        <w:jc w:val="left"/>
        <w:rPr>
          <w:rFonts w:ascii="仿宋" w:hAnsi="仿宋" w:eastAsia="仿宋" w:cs="仿宋"/>
          <w:sz w:val="28"/>
          <w:szCs w:val="28"/>
        </w:rPr>
      </w:pPr>
      <w:r>
        <w:rPr>
          <w:rFonts w:hint="eastAsia" w:ascii="仿宋" w:hAnsi="仿宋" w:eastAsia="仿宋" w:cs="仿宋"/>
          <w:sz w:val="28"/>
          <w:szCs w:val="28"/>
        </w:rPr>
        <w:t>为加大学科人才培养力度，优化人才梯队结构，</w:t>
      </w:r>
      <w:r>
        <w:rPr>
          <w:rFonts w:hint="cs" w:ascii="仿宋" w:hAnsi="仿宋" w:eastAsia="仿宋" w:cs="仿宋"/>
          <w:sz w:val="28"/>
          <w:szCs w:val="28"/>
        </w:rPr>
        <w:t>“</w:t>
      </w:r>
      <w:r>
        <w:rPr>
          <w:rFonts w:hint="eastAsia" w:ascii="仿宋" w:hAnsi="仿宋" w:eastAsia="仿宋" w:cs="仿宋"/>
          <w:sz w:val="28"/>
          <w:szCs w:val="28"/>
        </w:rPr>
        <w:t>十三五</w:t>
      </w:r>
      <w:r>
        <w:rPr>
          <w:rFonts w:hint="cs" w:ascii="仿宋" w:hAnsi="仿宋" w:eastAsia="仿宋" w:cs="仿宋"/>
          <w:sz w:val="28"/>
          <w:szCs w:val="28"/>
        </w:rPr>
        <w:t>”</w:t>
      </w:r>
      <w:r>
        <w:rPr>
          <w:rFonts w:hint="eastAsia" w:ascii="仿宋" w:hAnsi="仿宋" w:eastAsia="仿宋" w:cs="仿宋"/>
          <w:sz w:val="28"/>
          <w:szCs w:val="28"/>
        </w:rPr>
        <w:t>期间将进一步强化人才战略，结合实际情况实施高层次创新人才计划，分三个层次选拔杰出学者、中青年创新领军人才、青年创新优秀人才，组成各学科高层次人才的引领和后备力量。</w:t>
      </w:r>
      <w:r>
        <w:rPr>
          <w:rFonts w:hint="eastAsia" w:ascii="仿宋" w:hAnsi="仿宋" w:eastAsia="仿宋" w:cs="仿宋"/>
          <w:sz w:val="28"/>
          <w:szCs w:val="28"/>
          <w:lang w:val="en-US" w:eastAsia="zh-CN"/>
        </w:rPr>
        <w:t>2019年结合医院实际情况继续</w:t>
      </w:r>
      <w:r>
        <w:rPr>
          <w:rFonts w:hint="eastAsia" w:ascii="仿宋" w:hAnsi="仿宋" w:eastAsia="仿宋" w:cs="仿宋"/>
          <w:sz w:val="28"/>
          <w:szCs w:val="28"/>
        </w:rPr>
        <w:t>实施第三批</w:t>
      </w:r>
      <w:r>
        <w:rPr>
          <w:rFonts w:hint="eastAsia" w:ascii="仿宋" w:hAnsi="仿宋" w:eastAsia="仿宋" w:cs="仿宋"/>
          <w:b w:val="0"/>
          <w:bCs w:val="0"/>
          <w:sz w:val="28"/>
          <w:szCs w:val="28"/>
        </w:rPr>
        <w:t>青年创新优秀人才</w:t>
      </w:r>
      <w:r>
        <w:rPr>
          <w:rFonts w:hint="eastAsia" w:ascii="仿宋" w:hAnsi="仿宋" w:eastAsia="仿宋" w:cs="仿宋"/>
          <w:sz w:val="28"/>
          <w:szCs w:val="28"/>
        </w:rPr>
        <w:t>的选拔计划，现将有关事宜通知如下：</w:t>
      </w:r>
    </w:p>
    <w:p>
      <w:pPr>
        <w:spacing w:line="520" w:lineRule="exact"/>
        <w:ind w:left="279" w:leftChars="133" w:firstLine="264" w:firstLineChars="94"/>
        <w:jc w:val="left"/>
        <w:rPr>
          <w:rFonts w:ascii="仿宋" w:hAnsi="仿宋" w:eastAsia="仿宋" w:cs="仿宋"/>
          <w:b/>
          <w:bCs/>
          <w:sz w:val="28"/>
          <w:szCs w:val="28"/>
        </w:rPr>
      </w:pPr>
      <w:r>
        <w:rPr>
          <w:rFonts w:hint="eastAsia" w:ascii="仿宋" w:hAnsi="仿宋" w:eastAsia="仿宋" w:cs="仿宋"/>
          <w:b/>
          <w:bCs/>
          <w:sz w:val="28"/>
          <w:szCs w:val="28"/>
        </w:rPr>
        <w:t>一、选拔条件</w:t>
      </w:r>
    </w:p>
    <w:p>
      <w:pPr>
        <w:spacing w:line="520" w:lineRule="exact"/>
        <w:ind w:left="279" w:leftChars="133" w:firstLine="263" w:firstLineChars="94"/>
        <w:jc w:val="left"/>
        <w:rPr>
          <w:rFonts w:ascii="仿宋" w:hAnsi="仿宋" w:eastAsia="仿宋" w:cs="仿宋"/>
          <w:sz w:val="28"/>
          <w:szCs w:val="28"/>
        </w:rPr>
      </w:pPr>
      <w:r>
        <w:rPr>
          <w:rFonts w:hint="eastAsia" w:ascii="仿宋" w:hAnsi="仿宋" w:eastAsia="仿宋" w:cs="仿宋"/>
          <w:sz w:val="28"/>
          <w:szCs w:val="28"/>
        </w:rPr>
        <w:t>（一）基本条件：</w:t>
      </w:r>
    </w:p>
    <w:p>
      <w:pPr>
        <w:spacing w:line="520" w:lineRule="exact"/>
        <w:ind w:left="19" w:leftChars="9" w:firstLine="520" w:firstLineChars="186"/>
        <w:jc w:val="left"/>
        <w:rPr>
          <w:rFonts w:ascii="仿宋" w:hAnsi="仿宋" w:eastAsia="仿宋" w:cs="仿宋"/>
          <w:sz w:val="28"/>
          <w:szCs w:val="28"/>
        </w:rPr>
      </w:pPr>
      <w:r>
        <w:rPr>
          <w:rFonts w:hint="eastAsia" w:ascii="仿宋" w:hAnsi="仿宋" w:eastAsia="仿宋" w:cs="仿宋"/>
          <w:sz w:val="28"/>
          <w:szCs w:val="28"/>
        </w:rPr>
        <w:t>1.拥护党的路线、方针、政策，科学道德高尚，学风严谨，为人正派；</w:t>
      </w:r>
    </w:p>
    <w:p>
      <w:pPr>
        <w:spacing w:line="520" w:lineRule="exact"/>
        <w:ind w:left="19" w:leftChars="9" w:firstLine="520" w:firstLineChars="186"/>
        <w:jc w:val="left"/>
        <w:rPr>
          <w:rFonts w:ascii="仿宋" w:hAnsi="仿宋" w:eastAsia="仿宋" w:cs="仿宋"/>
          <w:sz w:val="28"/>
          <w:szCs w:val="28"/>
        </w:rPr>
      </w:pPr>
      <w:r>
        <w:rPr>
          <w:rFonts w:hint="eastAsia" w:ascii="仿宋" w:hAnsi="仿宋" w:eastAsia="仿宋" w:cs="仿宋"/>
          <w:sz w:val="28"/>
          <w:szCs w:val="28"/>
        </w:rPr>
        <w:t>2.具备开拓创新精神和发展潜力，在工作中表现出较强的领导才能、团队组织能力；</w:t>
      </w:r>
    </w:p>
    <w:p>
      <w:pPr>
        <w:spacing w:line="520" w:lineRule="exact"/>
        <w:ind w:left="19" w:leftChars="9" w:firstLine="520" w:firstLineChars="186"/>
        <w:jc w:val="left"/>
        <w:rPr>
          <w:rFonts w:ascii="仿宋" w:hAnsi="仿宋" w:eastAsia="仿宋" w:cs="仿宋"/>
          <w:sz w:val="28"/>
          <w:szCs w:val="28"/>
        </w:rPr>
      </w:pPr>
      <w:r>
        <w:rPr>
          <w:rFonts w:hint="eastAsia" w:ascii="仿宋" w:hAnsi="仿宋" w:eastAsia="仿宋" w:cs="仿宋"/>
          <w:sz w:val="28"/>
          <w:szCs w:val="28"/>
        </w:rPr>
        <w:t>3.一般在35周岁及以下</w:t>
      </w:r>
      <w:r>
        <w:rPr>
          <w:rFonts w:ascii="Times New Roman" w:hAnsi="Times New Roman" w:eastAsia="仿宋_GB2312" w:cs="Times New Roman"/>
          <w:color w:val="000000"/>
          <w:sz w:val="28"/>
          <w:szCs w:val="28"/>
        </w:rPr>
        <w:t>（计算时间截至201</w:t>
      </w:r>
      <w:r>
        <w:rPr>
          <w:rFonts w:hint="eastAsia" w:ascii="Times New Roman" w:hAnsi="Times New Roman" w:eastAsia="仿宋_GB2312" w:cs="Times New Roman"/>
          <w:color w:val="000000"/>
          <w:sz w:val="28"/>
          <w:szCs w:val="28"/>
        </w:rPr>
        <w:t>9</w:t>
      </w:r>
      <w:r>
        <w:rPr>
          <w:rFonts w:ascii="Times New Roman" w:hAnsi="Times New Roman" w:eastAsia="仿宋_GB2312" w:cs="Times New Roman"/>
          <w:color w:val="000000"/>
          <w:sz w:val="28"/>
          <w:szCs w:val="28"/>
        </w:rPr>
        <w:t>年1月1日</w:t>
      </w:r>
      <w:r>
        <w:rPr>
          <w:rFonts w:hint="eastAsia" w:ascii="Times New Roman" w:hAnsi="Times New Roman" w:eastAsia="仿宋_GB2312" w:cs="Times New Roman"/>
          <w:color w:val="000000"/>
          <w:sz w:val="28"/>
          <w:szCs w:val="28"/>
        </w:rPr>
        <w:t>）</w:t>
      </w:r>
      <w:r>
        <w:rPr>
          <w:rFonts w:hint="eastAsia" w:ascii="仿宋" w:hAnsi="仿宋" w:eastAsia="仿宋" w:cs="仿宋"/>
          <w:sz w:val="28"/>
          <w:szCs w:val="28"/>
        </w:rPr>
        <w:t>取得博士学位具有中级专业技术职务。</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（二）业务条件</w:t>
      </w:r>
    </w:p>
    <w:p>
      <w:pPr>
        <w:spacing w:line="520" w:lineRule="exact"/>
        <w:ind w:firstLine="57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.具有坚实的专业基础，有系统扎实的本学科理论知识，有明确稳定的学术方向和专业特色，掌握本学科国内外发展的新动向和相关学科的理论知识；</w:t>
      </w:r>
    </w:p>
    <w:p>
      <w:pPr>
        <w:spacing w:line="520" w:lineRule="exact"/>
        <w:ind w:firstLine="57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.较高的专业水平。临床医疗岗能履行医疗工作职责，有较高的临床技能，能够完成各项医疗任务，严格执行医疗规范；</w:t>
      </w:r>
    </w:p>
    <w:p>
      <w:pPr>
        <w:spacing w:line="520" w:lineRule="exact"/>
        <w:ind w:firstLine="57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.较强的科研能力。本人作为项目负责人获得国家级科研项目经费资助，具有独立进行科研设计和进行实验与技术操作能力；</w:t>
      </w:r>
    </w:p>
    <w:p>
      <w:pPr>
        <w:spacing w:line="520" w:lineRule="exact"/>
        <w:ind w:firstLine="57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.较高的论文水平。</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临床医技科室申请人近五年署名第一或通讯作者单位发表</w:t>
      </w:r>
      <w:r>
        <w:rPr>
          <w:rFonts w:ascii="仿宋" w:hAnsi="仿宋" w:eastAsia="仿宋" w:cs="仿宋"/>
          <w:sz w:val="28"/>
          <w:szCs w:val="28"/>
        </w:rPr>
        <w:t>SCI</w:t>
      </w:r>
      <w:r>
        <w:rPr>
          <w:rFonts w:hint="eastAsia" w:ascii="仿宋" w:hAnsi="仿宋" w:eastAsia="仿宋" w:cs="仿宋"/>
          <w:sz w:val="28"/>
          <w:szCs w:val="28"/>
        </w:rPr>
        <w:t>收录文章累计影响因子大于</w:t>
      </w:r>
      <w:r>
        <w:rPr>
          <w:rFonts w:ascii="仿宋" w:hAnsi="仿宋" w:eastAsia="仿宋" w:cs="仿宋"/>
          <w:sz w:val="28"/>
          <w:szCs w:val="28"/>
        </w:rPr>
        <w:t>10</w:t>
      </w:r>
      <w:r>
        <w:rPr>
          <w:rFonts w:hint="eastAsia" w:ascii="仿宋" w:hAnsi="仿宋" w:eastAsia="仿宋" w:cs="仿宋"/>
          <w:sz w:val="28"/>
          <w:szCs w:val="28"/>
        </w:rPr>
        <w:t>分，或单篇最高影响因子大于5分；研究科室申请人近五年第一或署名通讯作者单位发表</w:t>
      </w:r>
      <w:r>
        <w:rPr>
          <w:rFonts w:ascii="仿宋" w:hAnsi="仿宋" w:eastAsia="仿宋" w:cs="仿宋"/>
          <w:sz w:val="28"/>
          <w:szCs w:val="28"/>
        </w:rPr>
        <w:t>SCI</w:t>
      </w:r>
      <w:r>
        <w:rPr>
          <w:rFonts w:hint="eastAsia" w:ascii="仿宋" w:hAnsi="仿宋" w:eastAsia="仿宋" w:cs="仿宋"/>
          <w:sz w:val="28"/>
          <w:szCs w:val="28"/>
        </w:rPr>
        <w:t>收录文章累计影响因子大于</w:t>
      </w:r>
      <w:r>
        <w:rPr>
          <w:rFonts w:ascii="仿宋" w:hAnsi="仿宋" w:eastAsia="仿宋" w:cs="仿宋"/>
          <w:sz w:val="28"/>
          <w:szCs w:val="28"/>
        </w:rPr>
        <w:t>20</w:t>
      </w:r>
      <w:r>
        <w:rPr>
          <w:rFonts w:hint="eastAsia" w:ascii="仿宋" w:hAnsi="仿宋" w:eastAsia="仿宋" w:cs="仿宋"/>
          <w:sz w:val="28"/>
          <w:szCs w:val="28"/>
        </w:rPr>
        <w:t>分，或者单篇最高影响因子大于</w:t>
      </w:r>
      <w:r>
        <w:rPr>
          <w:rFonts w:ascii="仿宋" w:hAnsi="仿宋" w:eastAsia="仿宋" w:cs="仿宋"/>
          <w:sz w:val="28"/>
          <w:szCs w:val="28"/>
        </w:rPr>
        <w:t>6</w:t>
      </w:r>
      <w:r>
        <w:rPr>
          <w:rFonts w:hint="eastAsia" w:ascii="仿宋" w:hAnsi="仿宋" w:eastAsia="仿宋" w:cs="仿宋"/>
          <w:sz w:val="28"/>
          <w:szCs w:val="28"/>
        </w:rPr>
        <w:t>分。</w:t>
      </w:r>
    </w:p>
    <w:p>
      <w:pPr>
        <w:numPr>
          <w:ilvl w:val="0"/>
          <w:numId w:val="1"/>
        </w:numPr>
        <w:spacing w:line="520" w:lineRule="exact"/>
        <w:ind w:firstLine="570"/>
        <w:rPr>
          <w:rFonts w:ascii="仿宋" w:hAnsi="仿宋" w:eastAsia="仿宋" w:cs="仿宋"/>
          <w:sz w:val="28"/>
          <w:szCs w:val="28"/>
        </w:rPr>
      </w:pPr>
      <w:r>
        <w:rPr>
          <w:rFonts w:hint="eastAsia" w:ascii="仿宋" w:hAnsi="仿宋" w:eastAsia="仿宋" w:cs="仿宋"/>
          <w:sz w:val="28"/>
          <w:szCs w:val="28"/>
        </w:rPr>
        <w:t>可持续发展潜力。两年内承担省部级及以上科研项目或发表</w:t>
      </w:r>
      <w:r>
        <w:rPr>
          <w:rFonts w:ascii="仿宋" w:hAnsi="仿宋" w:eastAsia="仿宋" w:cs="仿宋"/>
          <w:sz w:val="28"/>
          <w:szCs w:val="28"/>
        </w:rPr>
        <w:t>SCI</w:t>
      </w:r>
      <w:r>
        <w:rPr>
          <w:rFonts w:hint="eastAsia" w:ascii="仿宋" w:hAnsi="仿宋" w:eastAsia="仿宋" w:cs="仿宋"/>
          <w:sz w:val="28"/>
          <w:szCs w:val="28"/>
        </w:rPr>
        <w:t>论文。</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（三）科室应确定培养对象的导师，明确导师培养任务、职责，确立培养目标。导师应由学科带头人或具备丰富医疗、教学、科研经验的专家教授担任。</w:t>
      </w:r>
    </w:p>
    <w:p>
      <w:pPr>
        <w:spacing w:line="520" w:lineRule="exact"/>
        <w:ind w:firstLine="570"/>
        <w:rPr>
          <w:rFonts w:ascii="仿宋" w:hAnsi="仿宋" w:eastAsia="仿宋" w:cs="仿宋"/>
          <w:b/>
          <w:bCs/>
          <w:sz w:val="28"/>
          <w:szCs w:val="28"/>
        </w:rPr>
      </w:pPr>
      <w:r>
        <w:rPr>
          <w:rFonts w:hint="eastAsia" w:ascii="仿宋" w:hAnsi="仿宋" w:eastAsia="仿宋" w:cs="仿宋"/>
          <w:b/>
          <w:bCs/>
          <w:sz w:val="28"/>
          <w:szCs w:val="28"/>
        </w:rPr>
        <w:t>二、选拔名额</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第三批青年创新优秀人才选拔人数为15-20人。</w:t>
      </w:r>
    </w:p>
    <w:p>
      <w:pPr>
        <w:spacing w:line="520" w:lineRule="exact"/>
        <w:ind w:firstLine="570"/>
        <w:rPr>
          <w:rFonts w:ascii="仿宋" w:hAnsi="仿宋" w:eastAsia="仿宋" w:cs="仿宋"/>
          <w:sz w:val="28"/>
          <w:szCs w:val="28"/>
        </w:rPr>
      </w:pPr>
      <w:r>
        <w:rPr>
          <w:rFonts w:hint="eastAsia" w:ascii="仿宋" w:hAnsi="仿宋" w:eastAsia="仿宋" w:cs="仿宋"/>
          <w:b/>
          <w:bCs/>
          <w:sz w:val="28"/>
          <w:szCs w:val="28"/>
        </w:rPr>
        <w:t>三、选拔程序</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推荐工作贯彻</w:t>
      </w:r>
      <w:r>
        <w:rPr>
          <w:rFonts w:hint="cs" w:ascii="仿宋" w:hAnsi="仿宋" w:eastAsia="仿宋" w:cs="仿宋"/>
          <w:sz w:val="28"/>
          <w:szCs w:val="28"/>
        </w:rPr>
        <w:t>“</w:t>
      </w:r>
      <w:r>
        <w:rPr>
          <w:rFonts w:hint="eastAsia" w:ascii="仿宋" w:hAnsi="仿宋" w:eastAsia="仿宋" w:cs="仿宋"/>
          <w:sz w:val="28"/>
          <w:szCs w:val="28"/>
        </w:rPr>
        <w:t>公平、公开、公正</w:t>
      </w:r>
      <w:r>
        <w:rPr>
          <w:rFonts w:hint="cs" w:ascii="仿宋" w:hAnsi="仿宋" w:eastAsia="仿宋" w:cs="仿宋"/>
          <w:sz w:val="28"/>
          <w:szCs w:val="28"/>
        </w:rPr>
        <w:t>”</w:t>
      </w:r>
      <w:r>
        <w:rPr>
          <w:rFonts w:hint="eastAsia" w:ascii="仿宋" w:hAnsi="仿宋" w:eastAsia="仿宋" w:cs="仿宋"/>
          <w:sz w:val="28"/>
          <w:szCs w:val="28"/>
        </w:rPr>
        <w:t>原则，经由个人报名、科室推荐、专家评审提名等步骤选拔出人选。</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（一）个人报名：符合选拔条件的专业技术人员向所在科室提出申请并填写个人申请表。</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（二）科室推荐：各科室根据选拔条件写出推荐意见报人事处。</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（三）专家评审提名：人事处根据科室推荐人选，进行资格审查。组织评审专家对符合条件候选人员进行评审选拔出人选。（评审程序为个人述职，专家提问，个人答辩，专家评议等步骤组成）。</w:t>
      </w:r>
    </w:p>
    <w:p>
      <w:pPr>
        <w:spacing w:line="520" w:lineRule="exact"/>
        <w:ind w:firstLine="570"/>
        <w:rPr>
          <w:rFonts w:ascii="仿宋" w:hAnsi="仿宋" w:eastAsia="仿宋" w:cs="仿宋"/>
          <w:sz w:val="28"/>
          <w:szCs w:val="28"/>
        </w:rPr>
      </w:pPr>
      <w:r>
        <w:rPr>
          <w:rFonts w:hint="eastAsia" w:ascii="仿宋" w:hAnsi="仿宋" w:eastAsia="仿宋" w:cs="仿宋"/>
          <w:b/>
          <w:bCs/>
          <w:sz w:val="28"/>
          <w:szCs w:val="28"/>
        </w:rPr>
        <w:t>四、培养机制</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1. 实行培养期制</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培养期为五年，培养期内以科技创新平台、重点科研基地为依托，对从事重点发展领域或国际重大科学与技术前沿研究项目给予重点资助，资助科学研究与国外培训进修相结合，全面提高被培养者的素质和水平。培养期结束后对业绩突出者将进行跟踪考察和培养，并可优先推荐晋升高一级职称。</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2. 实行目标管理</w:t>
      </w:r>
    </w:p>
    <w:p>
      <w:pPr>
        <w:spacing w:line="520" w:lineRule="exact"/>
        <w:ind w:firstLine="570"/>
        <w:rPr>
          <w:rFonts w:ascii="仿宋" w:hAnsi="仿宋" w:eastAsia="仿宋" w:cs="仿宋"/>
          <w:b/>
          <w:bCs/>
          <w:sz w:val="28"/>
          <w:szCs w:val="28"/>
        </w:rPr>
      </w:pPr>
      <w:r>
        <w:rPr>
          <w:rFonts w:hint="eastAsia" w:ascii="仿宋" w:hAnsi="仿宋" w:eastAsia="仿宋" w:cs="仿宋"/>
          <w:sz w:val="28"/>
          <w:szCs w:val="28"/>
        </w:rPr>
        <w:t>对培养对象实行目标管理，本学科负责人应根据本人情况和学科发展需要，制定个性化培养方案，确定高标准的量化工作目标。</w:t>
      </w:r>
    </w:p>
    <w:p>
      <w:pPr>
        <w:spacing w:line="520" w:lineRule="exact"/>
        <w:ind w:firstLine="570"/>
        <w:rPr>
          <w:rFonts w:ascii="仿宋" w:hAnsi="仿宋" w:eastAsia="仿宋" w:cs="仿宋"/>
          <w:b/>
          <w:bCs/>
          <w:sz w:val="28"/>
          <w:szCs w:val="28"/>
        </w:rPr>
      </w:pPr>
      <w:r>
        <w:rPr>
          <w:rFonts w:hint="eastAsia" w:ascii="仿宋" w:hAnsi="仿宋" w:eastAsia="仿宋" w:cs="仿宋"/>
          <w:b/>
          <w:bCs/>
          <w:sz w:val="28"/>
          <w:szCs w:val="28"/>
        </w:rPr>
        <w:t>五、基金资助</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（一）设立人才培养基金：医院成立专项人才培养基金，对培养对象实施资助。此项培养基金从医院人才经费中支出。培养以五年为一个支持周期</w:t>
      </w:r>
      <w:r>
        <w:rPr>
          <w:rFonts w:ascii="仿宋" w:hAnsi="仿宋" w:eastAsia="仿宋" w:cs="仿宋"/>
          <w:sz w:val="28"/>
          <w:szCs w:val="28"/>
        </w:rPr>
        <w:t>,</w:t>
      </w:r>
      <w:r>
        <w:rPr>
          <w:rFonts w:hint="eastAsia" w:ascii="仿宋" w:hAnsi="仿宋" w:eastAsia="仿宋" w:cs="仿宋"/>
          <w:sz w:val="28"/>
          <w:szCs w:val="28"/>
        </w:rPr>
        <w:t>资助总经费</w:t>
      </w:r>
      <w:r>
        <w:rPr>
          <w:rFonts w:ascii="仿宋" w:hAnsi="仿宋" w:eastAsia="仿宋" w:cs="仿宋"/>
          <w:sz w:val="28"/>
          <w:szCs w:val="28"/>
        </w:rPr>
        <w:t>25</w:t>
      </w:r>
      <w:r>
        <w:rPr>
          <w:rFonts w:hint="eastAsia" w:ascii="仿宋" w:hAnsi="仿宋" w:eastAsia="仿宋" w:cs="仿宋"/>
          <w:sz w:val="28"/>
          <w:szCs w:val="28"/>
        </w:rPr>
        <w:t>-30万元人民币。经费支持方式实行阶段划拨制，第一年立项后划拨资助经费，第二年及以后，每年年度考核合格后划拨下一年度资助经费。出国研修人员出国</w:t>
      </w:r>
      <w:r>
        <w:rPr>
          <w:rFonts w:ascii="仿宋" w:hAnsi="仿宋" w:eastAsia="仿宋" w:cs="仿宋"/>
          <w:sz w:val="28"/>
          <w:szCs w:val="28"/>
        </w:rPr>
        <w:t>6-12</w:t>
      </w:r>
      <w:r>
        <w:rPr>
          <w:rFonts w:hint="eastAsia" w:ascii="仿宋" w:hAnsi="仿宋" w:eastAsia="仿宋" w:cs="仿宋"/>
          <w:sz w:val="28"/>
          <w:szCs w:val="28"/>
        </w:rPr>
        <w:t>个月医院再定向资助</w:t>
      </w:r>
      <w:r>
        <w:rPr>
          <w:rFonts w:ascii="仿宋" w:hAnsi="仿宋" w:eastAsia="仿宋" w:cs="仿宋"/>
          <w:sz w:val="28"/>
          <w:szCs w:val="28"/>
        </w:rPr>
        <w:t>3-6</w:t>
      </w:r>
      <w:r>
        <w:rPr>
          <w:rFonts w:hint="eastAsia" w:ascii="仿宋" w:hAnsi="仿宋" w:eastAsia="仿宋" w:cs="仿宋"/>
          <w:sz w:val="28"/>
          <w:szCs w:val="28"/>
        </w:rPr>
        <w:t>万元。</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（二）经费管理：给予自主支配权，可用于平台建设、科研经费、人才培养、研修培训及学术交流等。</w:t>
      </w:r>
    </w:p>
    <w:p>
      <w:pPr>
        <w:spacing w:line="520" w:lineRule="exact"/>
        <w:ind w:firstLine="57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.经费由人事处统一管理，为获得支持经费人选建立《人才经费管理册》，该手册由财务处设专人负责管理，负责项目支出记载，核查，人事处负责对支出项目的审核、签批。</w:t>
      </w:r>
    </w:p>
    <w:p>
      <w:pPr>
        <w:spacing w:line="520" w:lineRule="exact"/>
        <w:ind w:firstLine="57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.经费支取由人事处统一制定个人经费领取卡，领取经费时需本人签字，人事处审核、主管院长签字后方可在财务处支取。</w:t>
      </w:r>
    </w:p>
    <w:p>
      <w:pPr>
        <w:spacing w:line="520" w:lineRule="exact"/>
        <w:ind w:firstLine="57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.经费支出比例，主要用于科研经费支出，研修培训及学术交流等，其中学术交流支出经费不超过总经费</w:t>
      </w:r>
      <w:r>
        <w:rPr>
          <w:rFonts w:ascii="仿宋" w:hAnsi="仿宋" w:eastAsia="仿宋" w:cs="仿宋"/>
          <w:sz w:val="28"/>
          <w:szCs w:val="28"/>
        </w:rPr>
        <w:t>15%</w:t>
      </w:r>
      <w:r>
        <w:rPr>
          <w:rFonts w:hint="eastAsia" w:ascii="仿宋" w:hAnsi="仿宋" w:eastAsia="仿宋" w:cs="仿宋"/>
          <w:sz w:val="28"/>
          <w:szCs w:val="28"/>
        </w:rPr>
        <w:t>。</w:t>
      </w:r>
    </w:p>
    <w:p>
      <w:pPr>
        <w:spacing w:line="520" w:lineRule="exact"/>
        <w:ind w:firstLine="57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.一般情况下经费使用期限不得超过</w:t>
      </w:r>
      <w:r>
        <w:rPr>
          <w:rFonts w:ascii="仿宋" w:hAnsi="仿宋" w:eastAsia="仿宋" w:cs="仿宋"/>
          <w:sz w:val="28"/>
          <w:szCs w:val="28"/>
        </w:rPr>
        <w:t>5</w:t>
      </w:r>
      <w:r>
        <w:rPr>
          <w:rFonts w:hint="eastAsia" w:ascii="仿宋" w:hAnsi="仿宋" w:eastAsia="仿宋" w:cs="仿宋"/>
          <w:sz w:val="28"/>
          <w:szCs w:val="28"/>
        </w:rPr>
        <w:t>年，期满完成工作目标仍有剩余经费，可延长经费使用期限一年。</w:t>
      </w:r>
    </w:p>
    <w:p>
      <w:pPr>
        <w:spacing w:line="520" w:lineRule="exact"/>
        <w:ind w:firstLine="570"/>
        <w:rPr>
          <w:rFonts w:ascii="仿宋" w:hAnsi="仿宋" w:eastAsia="仿宋" w:cs="仿宋"/>
          <w:b/>
          <w:bCs/>
          <w:sz w:val="28"/>
          <w:szCs w:val="28"/>
        </w:rPr>
      </w:pPr>
      <w:r>
        <w:rPr>
          <w:rFonts w:hint="eastAsia" w:ascii="仿宋" w:hAnsi="仿宋" w:eastAsia="仿宋" w:cs="仿宋"/>
          <w:b/>
          <w:bCs/>
          <w:sz w:val="28"/>
          <w:szCs w:val="28"/>
        </w:rPr>
        <w:t>六、考核评价</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（一）考核方式</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为获得支持的人才创造宽松的学术环境，考核方式采取年度考核、期满考核的方式进行。年度考核时间安排在每年</w:t>
      </w:r>
      <w:r>
        <w:rPr>
          <w:rFonts w:ascii="仿宋" w:hAnsi="仿宋" w:eastAsia="仿宋" w:cs="仿宋"/>
          <w:sz w:val="28"/>
          <w:szCs w:val="28"/>
        </w:rPr>
        <w:t>12</w:t>
      </w:r>
      <w:r>
        <w:rPr>
          <w:rFonts w:hint="eastAsia" w:ascii="仿宋" w:hAnsi="仿宋" w:eastAsia="仿宋" w:cs="仿宋"/>
          <w:sz w:val="28"/>
          <w:szCs w:val="28"/>
        </w:rPr>
        <w:t>月左右进行，并根据结果决定是否发放第二年资金支持；期满考核将召开成果汇报会，评选出优秀人选予以表彰。</w:t>
      </w:r>
    </w:p>
    <w:p>
      <w:pPr>
        <w:numPr>
          <w:ilvl w:val="255"/>
          <w:numId w:val="0"/>
        </w:numPr>
        <w:spacing w:line="520" w:lineRule="exact"/>
        <w:ind w:firstLine="570"/>
        <w:rPr>
          <w:rFonts w:ascii="仿宋" w:hAnsi="仿宋" w:eastAsia="仿宋" w:cs="仿宋"/>
          <w:sz w:val="28"/>
          <w:szCs w:val="28"/>
        </w:rPr>
      </w:pPr>
      <w:r>
        <w:rPr>
          <w:rFonts w:hint="eastAsia" w:ascii="仿宋" w:hAnsi="仿宋" w:eastAsia="仿宋" w:cs="仿宋"/>
          <w:sz w:val="28"/>
          <w:szCs w:val="28"/>
        </w:rPr>
        <w:t>（二）考核重点</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年度考核不设定硬性指标，以主观评价为主。邀请有关专家重点考察阶段工作：正在从事的课题方向是否具有原创性，是否真正瞄准国际前沿和高端；从研究进展看是否具备处于国际前列的发展潜力；工作是否按进度进行，是否能够保证足够的研究时间等。</w:t>
      </w:r>
    </w:p>
    <w:p>
      <w:pPr>
        <w:numPr>
          <w:ilvl w:val="255"/>
          <w:numId w:val="0"/>
        </w:numPr>
        <w:spacing w:line="520" w:lineRule="exact"/>
        <w:ind w:firstLine="570"/>
        <w:rPr>
          <w:rFonts w:ascii="仿宋" w:hAnsi="仿宋" w:eastAsia="仿宋" w:cs="仿宋"/>
          <w:sz w:val="28"/>
          <w:szCs w:val="28"/>
        </w:rPr>
      </w:pPr>
      <w:r>
        <w:rPr>
          <w:rFonts w:hint="eastAsia" w:ascii="仿宋" w:hAnsi="仿宋" w:eastAsia="仿宋" w:cs="仿宋"/>
          <w:sz w:val="28"/>
          <w:szCs w:val="28"/>
        </w:rPr>
        <w:t>期满考核强调实际成果的产出，根据人才的领域采取分类评价的方式。专家评议重点内容包括：成果评价，观点原创性及学术价值，学术论文水平，成果应用的前景等。在为期五年的培养期内，应完成以下目标：</w:t>
      </w:r>
    </w:p>
    <w:p>
      <w:pPr>
        <w:spacing w:line="520" w:lineRule="exact"/>
        <w:ind w:firstLine="57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.临床医技科室考核目标：作为项目负责人至少承担国家级科研项目</w:t>
      </w:r>
      <w:r>
        <w:rPr>
          <w:rFonts w:ascii="仿宋" w:hAnsi="仿宋" w:eastAsia="仿宋" w:cs="仿宋"/>
          <w:sz w:val="28"/>
          <w:szCs w:val="28"/>
        </w:rPr>
        <w:t>1</w:t>
      </w:r>
      <w:r>
        <w:rPr>
          <w:rFonts w:hint="eastAsia" w:ascii="仿宋" w:hAnsi="仿宋" w:eastAsia="仿宋" w:cs="仿宋"/>
          <w:sz w:val="28"/>
          <w:szCs w:val="28"/>
        </w:rPr>
        <w:t>项；以第一或通讯作者单位发表</w:t>
      </w:r>
      <w:r>
        <w:rPr>
          <w:rFonts w:ascii="仿宋" w:hAnsi="仿宋" w:eastAsia="仿宋" w:cs="仿宋"/>
          <w:sz w:val="28"/>
          <w:szCs w:val="28"/>
        </w:rPr>
        <w:t>SCI</w:t>
      </w:r>
      <w:r>
        <w:rPr>
          <w:rFonts w:hint="eastAsia" w:ascii="仿宋" w:hAnsi="仿宋" w:eastAsia="仿宋" w:cs="仿宋"/>
          <w:sz w:val="28"/>
          <w:szCs w:val="28"/>
        </w:rPr>
        <w:t>收录文章，累计影响因子大于</w:t>
      </w:r>
      <w:r>
        <w:rPr>
          <w:rFonts w:ascii="仿宋" w:hAnsi="仿宋" w:eastAsia="仿宋" w:cs="仿宋"/>
          <w:sz w:val="28"/>
          <w:szCs w:val="28"/>
        </w:rPr>
        <w:t>15</w:t>
      </w:r>
      <w:r>
        <w:rPr>
          <w:rFonts w:hint="eastAsia" w:ascii="仿宋" w:hAnsi="仿宋" w:eastAsia="仿宋" w:cs="仿宋"/>
          <w:sz w:val="28"/>
          <w:szCs w:val="28"/>
        </w:rPr>
        <w:t>或其中一篇单篇影响因子大于5分。至少熟练掌握</w:t>
      </w:r>
      <w:r>
        <w:rPr>
          <w:rFonts w:ascii="仿宋" w:hAnsi="仿宋" w:eastAsia="仿宋" w:cs="仿宋"/>
          <w:sz w:val="28"/>
          <w:szCs w:val="28"/>
        </w:rPr>
        <w:t>1</w:t>
      </w:r>
      <w:r>
        <w:rPr>
          <w:rFonts w:hint="eastAsia" w:ascii="仿宋" w:hAnsi="仿宋" w:eastAsia="仿宋" w:cs="仿宋"/>
          <w:sz w:val="28"/>
          <w:szCs w:val="28"/>
        </w:rPr>
        <w:t>项并在临床工作中广泛开展领域内前沿新技术。</w:t>
      </w:r>
    </w:p>
    <w:p>
      <w:pPr>
        <w:spacing w:line="520" w:lineRule="exact"/>
        <w:ind w:firstLine="57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.研究科室考核目标：作为项目负责人承担至少国家级科研项目</w:t>
      </w:r>
      <w:r>
        <w:rPr>
          <w:rFonts w:ascii="仿宋" w:hAnsi="仿宋" w:eastAsia="仿宋" w:cs="仿宋"/>
          <w:sz w:val="28"/>
          <w:szCs w:val="28"/>
        </w:rPr>
        <w:t>1</w:t>
      </w:r>
      <w:r>
        <w:rPr>
          <w:rFonts w:hint="eastAsia" w:ascii="仿宋" w:hAnsi="仿宋" w:eastAsia="仿宋" w:cs="仿宋"/>
          <w:sz w:val="28"/>
          <w:szCs w:val="28"/>
        </w:rPr>
        <w:t>项；以第一或通讯作者单位发表</w:t>
      </w:r>
      <w:r>
        <w:rPr>
          <w:rFonts w:ascii="仿宋" w:hAnsi="仿宋" w:eastAsia="仿宋" w:cs="仿宋"/>
          <w:sz w:val="28"/>
          <w:szCs w:val="28"/>
        </w:rPr>
        <w:t>SCI</w:t>
      </w:r>
      <w:r>
        <w:rPr>
          <w:rFonts w:hint="eastAsia" w:ascii="仿宋" w:hAnsi="仿宋" w:eastAsia="仿宋" w:cs="仿宋"/>
          <w:sz w:val="28"/>
          <w:szCs w:val="28"/>
        </w:rPr>
        <w:t>收录文章，累计影响因子大于</w:t>
      </w:r>
      <w:r>
        <w:rPr>
          <w:rFonts w:ascii="仿宋" w:hAnsi="仿宋" w:eastAsia="仿宋" w:cs="仿宋"/>
          <w:sz w:val="28"/>
          <w:szCs w:val="28"/>
        </w:rPr>
        <w:t>30</w:t>
      </w:r>
      <w:r>
        <w:rPr>
          <w:rFonts w:hint="eastAsia" w:ascii="仿宋" w:hAnsi="仿宋" w:eastAsia="仿宋" w:cs="仿宋"/>
          <w:sz w:val="28"/>
          <w:szCs w:val="28"/>
        </w:rPr>
        <w:t>分，或发表三篇影响因子大于8分文章，或单篇最高影响因子大于10分。</w:t>
      </w:r>
    </w:p>
    <w:p>
      <w:pPr>
        <w:spacing w:line="520" w:lineRule="exact"/>
        <w:ind w:firstLine="57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.在完成以上工作同时，必须能够独立解决本专业实际工作中的疑难技术问题，并承担一定的教学任务，作为硕导能够带教培养硕士研究生。</w:t>
      </w:r>
    </w:p>
    <w:p>
      <w:pPr>
        <w:spacing w:line="520" w:lineRule="exact"/>
        <w:ind w:firstLine="570"/>
        <w:rPr>
          <w:rFonts w:ascii="仿宋" w:hAnsi="仿宋" w:eastAsia="仿宋" w:cs="仿宋"/>
          <w:sz w:val="28"/>
          <w:szCs w:val="28"/>
        </w:rPr>
      </w:pPr>
      <w:r>
        <w:rPr>
          <w:rFonts w:hint="eastAsia" w:ascii="仿宋" w:hAnsi="仿宋" w:eastAsia="仿宋" w:cs="仿宋"/>
          <w:b/>
          <w:bCs/>
          <w:sz w:val="28"/>
          <w:szCs w:val="28"/>
        </w:rPr>
        <w:t>七、组织实施</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（一）人事处负责评选管理的具体组织实施工作。</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（二）人事处对入选的人才实行动态管理，对不符合要求的不再作为计划人选，并从下一年起停止经费支持。对于考核结果突出者给予奖励，业绩特别突出者推荐破格晋升，</w:t>
      </w:r>
    </w:p>
    <w:p>
      <w:pPr>
        <w:spacing w:line="520" w:lineRule="exact"/>
        <w:ind w:firstLine="570"/>
        <w:rPr>
          <w:rFonts w:ascii="仿宋" w:hAnsi="仿宋" w:eastAsia="仿宋" w:cs="仿宋"/>
          <w:sz w:val="28"/>
          <w:szCs w:val="28"/>
        </w:rPr>
      </w:pPr>
    </w:p>
    <w:p>
      <w:pPr>
        <w:spacing w:line="520" w:lineRule="exact"/>
        <w:rPr>
          <w:rFonts w:ascii="仿宋" w:hAnsi="仿宋" w:eastAsia="仿宋" w:cs="仿宋"/>
          <w:sz w:val="28"/>
          <w:szCs w:val="28"/>
        </w:rPr>
      </w:pPr>
      <w:r>
        <w:rPr>
          <w:rFonts w:hint="eastAsia" w:ascii="仿宋" w:hAnsi="仿宋" w:eastAsia="仿宋" w:cs="仿宋"/>
          <w:sz w:val="28"/>
          <w:szCs w:val="28"/>
        </w:rPr>
        <w:t>对优秀培养导师年终绩效提高奖励比例，反之终止培养导师资格。</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（三）人事处组织专家委员会对人才进行考核评价，并分别填写评价意见，提交医院办公会。</w:t>
      </w:r>
    </w:p>
    <w:p>
      <w:pPr>
        <w:spacing w:line="520" w:lineRule="exact"/>
        <w:ind w:firstLine="570"/>
        <w:rPr>
          <w:rFonts w:ascii="仿宋" w:hAnsi="仿宋" w:eastAsia="仿宋" w:cs="仿宋"/>
          <w:b/>
          <w:bCs/>
          <w:sz w:val="28"/>
          <w:szCs w:val="28"/>
        </w:rPr>
      </w:pPr>
      <w:r>
        <w:rPr>
          <w:rFonts w:hint="eastAsia" w:ascii="仿宋" w:hAnsi="仿宋" w:eastAsia="仿宋" w:cs="仿宋"/>
          <w:b/>
          <w:bCs/>
          <w:sz w:val="28"/>
          <w:szCs w:val="28"/>
        </w:rPr>
        <w:t>八、时间安排</w:t>
      </w:r>
    </w:p>
    <w:p>
      <w:pPr>
        <w:spacing w:line="520" w:lineRule="exact"/>
        <w:ind w:firstLine="570"/>
        <w:rPr>
          <w:rFonts w:hint="eastAsia" w:ascii="仿宋" w:hAnsi="仿宋" w:eastAsia="仿宋" w:cs="仿宋"/>
          <w:sz w:val="28"/>
          <w:szCs w:val="28"/>
        </w:rPr>
      </w:pPr>
      <w:r>
        <w:rPr>
          <w:rFonts w:hint="eastAsia" w:ascii="仿宋" w:hAnsi="仿宋" w:eastAsia="仿宋" w:cs="仿宋"/>
          <w:sz w:val="28"/>
          <w:szCs w:val="28"/>
        </w:rPr>
        <w:t>（一）5月21日（周二）个人申请根据选拔条件个人向所在科室提交申请表。科室根据选拔条件进行推荐。</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申请表</w:t>
      </w:r>
      <w:r>
        <w:rPr>
          <w:rFonts w:hint="eastAsia" w:ascii="仿宋" w:hAnsi="仿宋" w:eastAsia="仿宋" w:cs="仿宋"/>
          <w:b/>
          <w:bCs/>
          <w:sz w:val="28"/>
          <w:szCs w:val="28"/>
          <w:lang w:eastAsia="zh-CN"/>
        </w:rPr>
        <w:t>（见附件下载链接）</w:t>
      </w:r>
      <w:r>
        <w:rPr>
          <w:rFonts w:hint="eastAsia" w:ascii="仿宋" w:hAnsi="仿宋" w:eastAsia="仿宋" w:cs="仿宋"/>
          <w:sz w:val="28"/>
          <w:szCs w:val="28"/>
        </w:rPr>
        <w:t>纸质版科主任签字上交到人事处，电子版传至邮箱：tjzlyyrsc@126.com</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（二）5月24日（周五）申报人将表中填写内容佐证报人事处进行资格审查。</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（三）5月31日（周五）将述职幻灯PPT文件上传至人事处邮箱。</w:t>
      </w:r>
    </w:p>
    <w:p>
      <w:pPr>
        <w:spacing w:line="520" w:lineRule="exact"/>
        <w:ind w:firstLine="570"/>
        <w:rPr>
          <w:rFonts w:ascii="仿宋" w:hAnsi="仿宋" w:eastAsia="仿宋" w:cs="仿宋"/>
          <w:sz w:val="28"/>
          <w:szCs w:val="28"/>
        </w:rPr>
      </w:pPr>
      <w:r>
        <w:rPr>
          <w:rFonts w:hint="eastAsia" w:ascii="仿宋" w:hAnsi="仿宋" w:eastAsia="仿宋" w:cs="仿宋"/>
          <w:sz w:val="28"/>
          <w:szCs w:val="28"/>
        </w:rPr>
        <w:t>附件：第三批青年创新优秀人才选拔个人申请表</w:t>
      </w:r>
    </w:p>
    <w:p>
      <w:pPr>
        <w:spacing w:line="580" w:lineRule="exact"/>
        <w:ind w:firstLine="570"/>
        <w:jc w:val="center"/>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人事处</w:t>
      </w:r>
    </w:p>
    <w:p>
      <w:pPr>
        <w:spacing w:line="580" w:lineRule="exact"/>
        <w:ind w:firstLine="570"/>
        <w:jc w:val="right"/>
        <w:rPr>
          <w:rFonts w:ascii="仿宋" w:hAnsi="仿宋" w:eastAsia="仿宋" w:cs="仿宋"/>
          <w:sz w:val="28"/>
          <w:szCs w:val="28"/>
        </w:rPr>
      </w:pPr>
      <w:r>
        <w:rPr>
          <w:rFonts w:hint="eastAsia" w:ascii="仿宋" w:hAnsi="仿宋" w:eastAsia="仿宋" w:cs="仿宋"/>
          <w:sz w:val="28"/>
          <w:szCs w:val="28"/>
        </w:rPr>
        <w:t>二〇一九年五月</w:t>
      </w:r>
      <w:r>
        <w:rPr>
          <w:rFonts w:hint="eastAsia" w:ascii="仿宋" w:hAnsi="仿宋" w:eastAsia="仿宋" w:cs="仿宋"/>
          <w:sz w:val="28"/>
          <w:szCs w:val="28"/>
          <w:lang w:eastAsia="zh-CN"/>
        </w:rPr>
        <w:t>二十</w:t>
      </w:r>
      <w:r>
        <w:rPr>
          <w:rFonts w:hint="eastAsia" w:ascii="仿宋" w:hAnsi="仿宋" w:eastAsia="仿宋" w:cs="仿宋"/>
          <w:sz w:val="28"/>
          <w:szCs w:val="28"/>
        </w:rPr>
        <w:t>日</w:t>
      </w:r>
    </w:p>
    <w:p>
      <w:pPr>
        <w:jc w:val="left"/>
        <w:rPr>
          <w:rFonts w:hint="eastAsia" w:ascii="文星简小标宋" w:hAnsi="宋体" w:eastAsia="文星简小标宋"/>
          <w:b/>
          <w:bCs/>
          <w:sz w:val="36"/>
          <w:szCs w:val="36"/>
        </w:rPr>
      </w:pPr>
    </w:p>
    <w:p>
      <w:pPr>
        <w:jc w:val="left"/>
        <w:rPr>
          <w:rFonts w:hint="eastAsia" w:ascii="文星简小标宋" w:hAnsi="宋体" w:eastAsia="文星简小标宋"/>
          <w:b/>
          <w:bCs/>
          <w:sz w:val="36"/>
          <w:szCs w:val="36"/>
        </w:rPr>
      </w:pPr>
    </w:p>
    <w:p>
      <w:pPr>
        <w:jc w:val="left"/>
        <w:rPr>
          <w:rFonts w:hint="eastAsia" w:ascii="文星简小标宋" w:hAnsi="宋体" w:eastAsia="文星简小标宋"/>
          <w:b/>
          <w:bCs/>
          <w:sz w:val="36"/>
          <w:szCs w:val="36"/>
        </w:rPr>
      </w:pPr>
    </w:p>
    <w:p>
      <w:pPr>
        <w:jc w:val="left"/>
        <w:rPr>
          <w:rFonts w:hint="eastAsia" w:ascii="文星简小标宋" w:hAnsi="宋体" w:eastAsia="文星简小标宋"/>
          <w:b/>
          <w:bCs/>
          <w:sz w:val="36"/>
          <w:szCs w:val="36"/>
        </w:rPr>
      </w:pPr>
      <w:bookmarkStart w:id="0" w:name="_GoBack"/>
      <w:bookmarkEnd w:id="0"/>
    </w:p>
    <w:p>
      <w:pPr>
        <w:jc w:val="left"/>
        <w:rPr>
          <w:rFonts w:hint="eastAsia" w:ascii="文星简小标宋" w:hAnsi="宋体" w:eastAsia="文星简小标宋"/>
          <w:b/>
          <w:bCs/>
          <w:sz w:val="36"/>
          <w:szCs w:val="36"/>
        </w:rPr>
      </w:pPr>
    </w:p>
    <w:p>
      <w:pPr>
        <w:rPr>
          <w:rFonts w:hint="eastAsia" w:ascii="文星简小标宋" w:hAnsi="宋体" w:eastAsia="文星简小标宋"/>
          <w:b/>
          <w:bCs/>
          <w:sz w:val="36"/>
          <w:szCs w:val="36"/>
        </w:rPr>
      </w:pPr>
      <w:r>
        <w:rPr>
          <w:rFonts w:hint="eastAsia" w:ascii="文星简小标宋" w:hAnsi="宋体" w:eastAsia="文星简小标宋"/>
          <w:b/>
          <w:bCs/>
          <w:sz w:val="36"/>
          <w:szCs w:val="36"/>
        </w:rPr>
        <w:br w:type="page"/>
      </w:r>
    </w:p>
    <w:p>
      <w:pPr>
        <w:jc w:val="left"/>
        <w:rPr>
          <w:rFonts w:hint="eastAsia" w:ascii="文星简小标宋" w:hAnsi="宋体" w:eastAsia="文星简小标宋"/>
          <w:b/>
          <w:bCs/>
          <w:sz w:val="36"/>
          <w:szCs w:val="36"/>
        </w:rPr>
      </w:pPr>
    </w:p>
    <w:p>
      <w:pPr>
        <w:jc w:val="left"/>
        <w:rPr>
          <w:rFonts w:ascii="文星简小标宋" w:hAnsi="宋体" w:eastAsia="文星简小标宋"/>
          <w:b/>
          <w:bCs/>
          <w:sz w:val="36"/>
          <w:szCs w:val="36"/>
        </w:rPr>
      </w:pPr>
      <w:r>
        <w:rPr>
          <w:rFonts w:hint="eastAsia" w:ascii="文星简小标宋" w:hAnsi="宋体" w:eastAsia="文星简小标宋"/>
          <w:b/>
          <w:bCs/>
          <w:sz w:val="36"/>
          <w:szCs w:val="36"/>
        </w:rPr>
        <w:t>附件1</w:t>
      </w:r>
    </w:p>
    <w:p>
      <w:pPr>
        <w:jc w:val="center"/>
        <w:rPr>
          <w:rFonts w:ascii="文星简小标宋" w:hAnsi="宋体" w:eastAsia="文星简小标宋"/>
          <w:sz w:val="44"/>
          <w:szCs w:val="44"/>
        </w:rPr>
      </w:pPr>
      <w:r>
        <w:rPr>
          <w:rFonts w:hint="eastAsia" w:ascii="文星简小标宋" w:hAnsi="宋体" w:eastAsia="文星简小标宋"/>
          <w:sz w:val="44"/>
          <w:szCs w:val="44"/>
        </w:rPr>
        <w:t>第三批青年创新优秀人才选拔个人申请表</w:t>
      </w:r>
    </w:p>
    <w:tbl>
      <w:tblPr>
        <w:tblStyle w:val="6"/>
        <w:tblpPr w:leftFromText="180" w:rightFromText="180" w:vertAnchor="text" w:horzAnchor="margin" w:tblpXSpec="center" w:tblpY="470"/>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88"/>
        <w:gridCol w:w="3121"/>
        <w:gridCol w:w="1620"/>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34" w:hRule="atLeast"/>
        </w:trPr>
        <w:tc>
          <w:tcPr>
            <w:tcW w:w="15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r>
              <w:rPr>
                <w:rFonts w:hint="eastAsia" w:ascii="FangSong_GB2312" w:hAnsi="宋体" w:eastAsia="FangSong_GB2312"/>
                <w:sz w:val="24"/>
              </w:rPr>
              <w:t>姓   名</w:t>
            </w:r>
          </w:p>
        </w:tc>
        <w:tc>
          <w:tcPr>
            <w:tcW w:w="31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r>
              <w:rPr>
                <w:rFonts w:hint="eastAsia" w:ascii="FangSong_GB2312" w:hAnsi="宋体" w:eastAsia="FangSong_GB2312"/>
                <w:sz w:val="24"/>
              </w:rPr>
              <w:t>性  别</w:t>
            </w:r>
          </w:p>
        </w:tc>
        <w:tc>
          <w:tcPr>
            <w:tcW w:w="3061"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2" w:hRule="atLeast"/>
        </w:trPr>
        <w:tc>
          <w:tcPr>
            <w:tcW w:w="15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FangSong_GB2312" w:hAnsi="宋体" w:eastAsia="FangSong_GB2312"/>
                <w:sz w:val="24"/>
              </w:rPr>
            </w:pPr>
          </w:p>
        </w:tc>
        <w:tc>
          <w:tcPr>
            <w:tcW w:w="31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FangSong_GB2312" w:hAnsi="宋体" w:eastAsia="FangSong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r>
              <w:rPr>
                <w:rFonts w:hint="eastAsia" w:ascii="FangSong_GB2312" w:hAnsi="宋体" w:eastAsia="FangSong_GB2312"/>
                <w:sz w:val="24"/>
              </w:rPr>
              <w:t>出生年月</w:t>
            </w:r>
          </w:p>
        </w:tc>
        <w:tc>
          <w:tcPr>
            <w:tcW w:w="3061"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79" w:hRule="atLeast"/>
        </w:trPr>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r>
              <w:rPr>
                <w:rFonts w:hint="eastAsia" w:ascii="FangSong_GB2312" w:hAnsi="宋体" w:eastAsia="FangSong_GB2312"/>
                <w:sz w:val="24"/>
              </w:rPr>
              <w:t>毕业院校</w:t>
            </w:r>
          </w:p>
        </w:tc>
        <w:tc>
          <w:tcPr>
            <w:tcW w:w="3121"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FangSong_GB2312" w:hAnsi="宋体" w:eastAsia="FangSong_GB2312"/>
                <w:sz w:val="24"/>
              </w:rPr>
            </w:pPr>
            <w:r>
              <w:rPr>
                <w:rFonts w:hint="eastAsia" w:ascii="FangSong_GB2312" w:hAnsi="宋体" w:eastAsia="FangSong_GB2312"/>
                <w:sz w:val="24"/>
              </w:rPr>
              <w:t>从事专业</w:t>
            </w:r>
          </w:p>
        </w:tc>
        <w:tc>
          <w:tcPr>
            <w:tcW w:w="3061"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606" w:hRule="atLeast"/>
        </w:trPr>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r>
              <w:rPr>
                <w:rFonts w:hint="eastAsia" w:ascii="FangSong_GB2312" w:hAnsi="宋体" w:eastAsia="FangSong_GB2312"/>
                <w:sz w:val="24"/>
              </w:rPr>
              <w:t>职务/职称</w:t>
            </w:r>
          </w:p>
        </w:tc>
        <w:tc>
          <w:tcPr>
            <w:tcW w:w="3121"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r>
              <w:rPr>
                <w:rFonts w:hint="eastAsia" w:ascii="FangSong_GB2312" w:hAnsi="宋体" w:eastAsia="FangSong_GB2312"/>
                <w:sz w:val="24"/>
              </w:rPr>
              <w:t>申报类别</w:t>
            </w:r>
          </w:p>
        </w:tc>
        <w:tc>
          <w:tcPr>
            <w:tcW w:w="3061" w:type="dxa"/>
            <w:tcBorders>
              <w:top w:val="single" w:color="auto" w:sz="4" w:space="0"/>
              <w:left w:val="single" w:color="auto" w:sz="4" w:space="0"/>
              <w:bottom w:val="single" w:color="auto" w:sz="4" w:space="0"/>
              <w:right w:val="single" w:color="auto" w:sz="4" w:space="0"/>
            </w:tcBorders>
            <w:vAlign w:val="center"/>
          </w:tcPr>
          <w:p>
            <w:pPr>
              <w:numPr>
                <w:ilvl w:val="0"/>
                <w:numId w:val="0"/>
              </w:numPr>
              <w:ind w:leftChars="0"/>
              <w:jc w:val="center"/>
              <w:rPr>
                <w:rFonts w:ascii="FangSong_GB2312" w:hAnsi="宋体" w:eastAsia="FangSong_GB2312"/>
                <w:sz w:val="24"/>
              </w:rPr>
            </w:pPr>
            <w:r>
              <w:rPr>
                <w:rFonts w:hint="eastAsia" w:ascii="FangSong_GB2312" w:hAnsi="宋体" w:eastAsia="FangSong_GB2312"/>
                <w:sz w:val="24"/>
              </w:rPr>
              <w:t>青年创新优秀人才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0" w:hRule="atLeast"/>
        </w:trPr>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r>
              <w:rPr>
                <w:rFonts w:hint="eastAsia" w:ascii="FangSong_GB2312" w:hAnsi="宋体" w:eastAsia="FangSong_GB2312"/>
                <w:sz w:val="24"/>
              </w:rPr>
              <w:t>联系电话</w:t>
            </w:r>
          </w:p>
        </w:tc>
        <w:tc>
          <w:tcPr>
            <w:tcW w:w="3121"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r>
              <w:rPr>
                <w:rFonts w:hint="eastAsia" w:ascii="FangSong_GB2312" w:hAnsi="宋体" w:eastAsia="FangSong_GB2312"/>
                <w:sz w:val="24"/>
              </w:rPr>
              <w:t>邮件地址</w:t>
            </w:r>
          </w:p>
        </w:tc>
        <w:tc>
          <w:tcPr>
            <w:tcW w:w="3061" w:type="dxa"/>
            <w:tcBorders>
              <w:top w:val="single" w:color="auto" w:sz="4" w:space="0"/>
              <w:left w:val="single" w:color="auto" w:sz="4" w:space="0"/>
              <w:bottom w:val="single" w:color="auto" w:sz="4" w:space="0"/>
              <w:right w:val="single" w:color="auto" w:sz="4" w:space="0"/>
            </w:tcBorders>
            <w:vAlign w:val="center"/>
          </w:tcPr>
          <w:p>
            <w:pPr>
              <w:jc w:val="center"/>
              <w:rPr>
                <w:rFonts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63" w:hRule="atLeast"/>
        </w:trPr>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sz w:val="24"/>
              </w:rPr>
            </w:pPr>
            <w:r>
              <w:rPr>
                <w:rFonts w:hint="eastAsia" w:ascii="FangSong_GB2312" w:hAnsi="宋体" w:eastAsia="FangSong_GB2312"/>
                <w:sz w:val="24"/>
              </w:rPr>
              <w:t>申请人</w:t>
            </w:r>
          </w:p>
          <w:p>
            <w:pPr>
              <w:jc w:val="center"/>
              <w:rPr>
                <w:rFonts w:ascii="FangSong_GB2312" w:hAnsi="宋体" w:eastAsia="FangSong_GB2312"/>
                <w:sz w:val="24"/>
              </w:rPr>
            </w:pPr>
            <w:r>
              <w:rPr>
                <w:rFonts w:hint="eastAsia" w:ascii="FangSong_GB2312" w:hAnsi="宋体" w:eastAsia="FangSong_GB2312"/>
                <w:sz w:val="24"/>
              </w:rPr>
              <w:t>业绩概述</w:t>
            </w:r>
          </w:p>
        </w:tc>
        <w:tc>
          <w:tcPr>
            <w:tcW w:w="7802" w:type="dxa"/>
            <w:gridSpan w:val="3"/>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68" w:hRule="atLeast"/>
        </w:trPr>
        <w:tc>
          <w:tcPr>
            <w:tcW w:w="1588"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FangSong_GB2312" w:hAnsi="宋体" w:eastAsia="FangSong_GB2312"/>
                <w:sz w:val="24"/>
              </w:rPr>
            </w:pPr>
            <w:r>
              <w:rPr>
                <w:rFonts w:hint="eastAsia" w:ascii="FangSong_GB2312" w:hAnsi="宋体" w:eastAsia="FangSong_GB2312"/>
                <w:sz w:val="24"/>
              </w:rPr>
              <w:t>近五年</w:t>
            </w:r>
          </w:p>
          <w:p>
            <w:pPr>
              <w:snapToGrid w:val="0"/>
              <w:spacing w:line="0" w:lineRule="atLeast"/>
              <w:jc w:val="center"/>
              <w:rPr>
                <w:rFonts w:ascii="FangSong_GB2312" w:hAnsi="宋体" w:eastAsia="FangSong_GB2312"/>
                <w:sz w:val="24"/>
              </w:rPr>
            </w:pPr>
            <w:r>
              <w:rPr>
                <w:rFonts w:hint="eastAsia" w:ascii="FangSong_GB2312" w:hAnsi="宋体" w:eastAsia="FangSong_GB2312"/>
                <w:sz w:val="24"/>
              </w:rPr>
              <w:t>发表论文</w:t>
            </w:r>
          </w:p>
          <w:p>
            <w:pPr>
              <w:snapToGrid w:val="0"/>
              <w:spacing w:line="0" w:lineRule="atLeast"/>
              <w:jc w:val="center"/>
              <w:rPr>
                <w:rFonts w:ascii="FangSong_GB2312" w:hAnsi="宋体" w:eastAsia="FangSong_GB2312"/>
                <w:sz w:val="24"/>
              </w:rPr>
            </w:pPr>
            <w:r>
              <w:rPr>
                <w:rFonts w:hint="eastAsia" w:ascii="FangSong_GB2312" w:hAnsi="宋体" w:eastAsia="FangSong_GB2312"/>
                <w:sz w:val="24"/>
              </w:rPr>
              <w:t>（第一&amp;通讯）</w:t>
            </w:r>
          </w:p>
        </w:tc>
        <w:tc>
          <w:tcPr>
            <w:tcW w:w="7802" w:type="dxa"/>
            <w:gridSpan w:val="3"/>
            <w:tcBorders>
              <w:top w:val="single" w:color="auto" w:sz="4" w:space="0"/>
              <w:left w:val="single" w:color="auto" w:sz="4" w:space="0"/>
              <w:bottom w:val="single" w:color="auto" w:sz="4" w:space="0"/>
              <w:right w:val="single" w:color="auto" w:sz="4" w:space="0"/>
            </w:tcBorders>
          </w:tcPr>
          <w:p>
            <w:pPr>
              <w:snapToGrid w:val="0"/>
              <w:spacing w:line="500" w:lineRule="exact"/>
              <w:rPr>
                <w:rFonts w:ascii="FangSong_GB2312" w:hAnsi="宋体"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392" w:hRule="atLeast"/>
        </w:trPr>
        <w:tc>
          <w:tcPr>
            <w:tcW w:w="1588"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FangSong_GB2312" w:hAnsi="宋体" w:eastAsia="FangSong_GB2312"/>
                <w:sz w:val="24"/>
              </w:rPr>
            </w:pPr>
            <w:r>
              <w:rPr>
                <w:rFonts w:hint="eastAsia" w:ascii="FangSong_GB2312" w:hAnsi="宋体" w:eastAsia="FangSong_GB2312"/>
                <w:sz w:val="24"/>
              </w:rPr>
              <w:t>近五年</w:t>
            </w:r>
          </w:p>
          <w:p>
            <w:pPr>
              <w:snapToGrid w:val="0"/>
              <w:spacing w:line="0" w:lineRule="atLeast"/>
              <w:jc w:val="center"/>
              <w:rPr>
                <w:rFonts w:ascii="FangSong_GB2312" w:hAnsi="宋体" w:eastAsia="FangSong_GB2312"/>
                <w:sz w:val="24"/>
              </w:rPr>
            </w:pPr>
            <w:r>
              <w:rPr>
                <w:rFonts w:hint="eastAsia" w:ascii="FangSong_GB2312" w:hAnsi="宋体" w:eastAsia="FangSong_GB2312"/>
                <w:sz w:val="24"/>
              </w:rPr>
              <w:t>科研项目</w:t>
            </w:r>
          </w:p>
          <w:p>
            <w:pPr>
              <w:snapToGrid w:val="0"/>
              <w:spacing w:line="0" w:lineRule="atLeast"/>
              <w:jc w:val="center"/>
              <w:rPr>
                <w:rFonts w:ascii="FangSong_GB2312" w:hAnsi="宋体" w:eastAsia="FangSong_GB2312"/>
                <w:sz w:val="24"/>
              </w:rPr>
            </w:pPr>
            <w:r>
              <w:rPr>
                <w:rFonts w:hint="eastAsia" w:ascii="FangSong_GB2312" w:hAnsi="宋体" w:eastAsia="FangSong_GB2312"/>
                <w:sz w:val="24"/>
              </w:rPr>
              <w:t>（以项目负责人身份承担）</w:t>
            </w:r>
          </w:p>
        </w:tc>
        <w:tc>
          <w:tcPr>
            <w:tcW w:w="7802" w:type="dxa"/>
            <w:gridSpan w:val="3"/>
            <w:tcBorders>
              <w:top w:val="single" w:color="auto" w:sz="4" w:space="0"/>
              <w:left w:val="single" w:color="auto" w:sz="4" w:space="0"/>
              <w:bottom w:val="single" w:color="auto" w:sz="4" w:space="0"/>
              <w:right w:val="single" w:color="auto" w:sz="4" w:space="0"/>
            </w:tcBorders>
          </w:tcPr>
          <w:p>
            <w:pPr>
              <w:snapToGrid w:val="0"/>
              <w:spacing w:line="500" w:lineRule="exact"/>
              <w:rPr>
                <w:rFonts w:ascii="FangSong_GB2312" w:hAnsi="宋体" w:eastAsia="FangSong_GB2312"/>
                <w:sz w:val="24"/>
              </w:rPr>
            </w:pPr>
          </w:p>
          <w:p>
            <w:pPr>
              <w:snapToGrid w:val="0"/>
              <w:spacing w:line="500" w:lineRule="exact"/>
              <w:rPr>
                <w:rFonts w:ascii="FangSong_GB2312" w:hAnsi="宋体" w:eastAsia="FangSong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23" w:hRule="atLeast"/>
        </w:trPr>
        <w:tc>
          <w:tcPr>
            <w:tcW w:w="1588"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FangSong_GB2312" w:hAnsi="宋体" w:eastAsia="FangSong_GB2312"/>
                <w:sz w:val="24"/>
              </w:rPr>
            </w:pPr>
            <w:r>
              <w:rPr>
                <w:rFonts w:hint="eastAsia" w:ascii="FangSong_GB2312" w:hAnsi="宋体" w:eastAsia="FangSong_GB2312"/>
                <w:sz w:val="24"/>
              </w:rPr>
              <w:t>科室意见</w:t>
            </w:r>
          </w:p>
        </w:tc>
        <w:tc>
          <w:tcPr>
            <w:tcW w:w="7802" w:type="dxa"/>
            <w:gridSpan w:val="3"/>
            <w:tcBorders>
              <w:top w:val="single" w:color="auto" w:sz="4" w:space="0"/>
              <w:left w:val="single" w:color="auto" w:sz="4" w:space="0"/>
              <w:bottom w:val="single" w:color="auto" w:sz="4" w:space="0"/>
              <w:right w:val="single" w:color="auto" w:sz="4" w:space="0"/>
            </w:tcBorders>
          </w:tcPr>
          <w:p>
            <w:pPr>
              <w:snapToGrid w:val="0"/>
              <w:spacing w:line="500" w:lineRule="exact"/>
              <w:rPr>
                <w:rFonts w:ascii="FangSong_GB2312" w:hAnsi="宋体" w:eastAsia="FangSong_GB2312"/>
                <w:sz w:val="24"/>
              </w:rPr>
            </w:pPr>
          </w:p>
          <w:p>
            <w:pPr>
              <w:snapToGrid w:val="0"/>
              <w:spacing w:line="500" w:lineRule="exact"/>
              <w:rPr>
                <w:rFonts w:ascii="FangSong_GB2312" w:hAnsi="宋体" w:eastAsia="FangSong_GB2312"/>
                <w:sz w:val="24"/>
              </w:rPr>
            </w:pPr>
            <w:r>
              <w:rPr>
                <w:rFonts w:hint="eastAsia" w:ascii="FangSong_GB2312" w:hAnsi="宋体" w:eastAsia="FangSong_GB2312"/>
                <w:sz w:val="24"/>
              </w:rPr>
              <w:t xml:space="preserve">                                      科室负责人：</w:t>
            </w:r>
          </w:p>
          <w:p>
            <w:pPr>
              <w:snapToGrid w:val="0"/>
              <w:spacing w:line="500" w:lineRule="exact"/>
              <w:rPr>
                <w:rFonts w:ascii="FangSong_GB2312" w:hAnsi="宋体" w:eastAsia="FangSong_GB2312"/>
                <w:sz w:val="24"/>
              </w:rPr>
            </w:pPr>
          </w:p>
        </w:tc>
      </w:tr>
    </w:tbl>
    <w:p>
      <w:pPr>
        <w:spacing w:line="580" w:lineRule="exact"/>
        <w:rPr>
          <w:rFonts w:ascii="仿宋" w:hAnsi="仿宋" w:eastAsia="仿宋" w:cs="仿宋"/>
          <w:sz w:val="32"/>
          <w:szCs w:val="32"/>
        </w:rPr>
      </w:pPr>
    </w:p>
    <w:p>
      <w:pPr>
        <w:spacing w:line="580" w:lineRule="exact"/>
        <w:ind w:firstLine="570"/>
        <w:rPr>
          <w:rFonts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文星简小标宋">
    <w:altName w:val="宋体"/>
    <w:panose1 w:val="00000000000000000000"/>
    <w:charset w:val="86"/>
    <w:family w:val="modern"/>
    <w:pitch w:val="default"/>
    <w:sig w:usb0="00000000" w:usb1="00000000" w:usb2="0000001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003AF"/>
    <w:multiLevelType w:val="singleLevel"/>
    <w:tmpl w:val="57C003A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9886125"/>
    <w:rsid w:val="000B5DED"/>
    <w:rsid w:val="00205CCA"/>
    <w:rsid w:val="005A32D4"/>
    <w:rsid w:val="00731D0B"/>
    <w:rsid w:val="00E11D0D"/>
    <w:rsid w:val="00F13C3C"/>
    <w:rsid w:val="0698013E"/>
    <w:rsid w:val="09886125"/>
    <w:rsid w:val="0F8E616A"/>
    <w:rsid w:val="0FCF19EE"/>
    <w:rsid w:val="10DC2E5D"/>
    <w:rsid w:val="27A70600"/>
    <w:rsid w:val="2853211A"/>
    <w:rsid w:val="2C840DD4"/>
    <w:rsid w:val="31033469"/>
    <w:rsid w:val="4BE939CB"/>
    <w:rsid w:val="4DA766D4"/>
    <w:rsid w:val="4F5E7A0E"/>
    <w:rsid w:val="56E85432"/>
    <w:rsid w:val="5CDA41C2"/>
    <w:rsid w:val="65C77EF0"/>
    <w:rsid w:val="6683738E"/>
    <w:rsid w:val="6E7B0C2D"/>
    <w:rsid w:val="70327BBF"/>
    <w:rsid w:val="7220448B"/>
    <w:rsid w:val="72FE650F"/>
    <w:rsid w:val="73586A59"/>
    <w:rsid w:val="782E357D"/>
    <w:rsid w:val="7FA01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kern w:val="2"/>
      <w:sz w:val="18"/>
      <w:szCs w:val="18"/>
    </w:rPr>
  </w:style>
  <w:style w:type="character" w:customStyle="1" w:styleId="10">
    <w:name w:val="页眉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Micsocoft</Company>
  <Pages>6</Pages>
  <Words>424</Words>
  <Characters>2422</Characters>
  <Lines>20</Lines>
  <Paragraphs>5</Paragraphs>
  <TotalTime>1</TotalTime>
  <ScaleCrop>false</ScaleCrop>
  <LinksUpToDate>false</LinksUpToDate>
  <CharactersWithSpaces>2841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2019-05-17T09:09:00Z</dcterms:created>
  <dc:creator>张寅</dc:creator>
  <cp:lastModifiedBy>Stella.土豆豆</cp:lastModifiedBy>
  <cp:lastPrinted>2016-08-30T09:05:00Z</cp:lastPrinted>
  <dcterms:modified xsi:type="dcterms:W3CDTF">2019-05-20T01:27:45Z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